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72" w:rsidRPr="007F3DB9" w:rsidRDefault="007F3DB9">
      <w:pPr>
        <w:pBdr>
          <w:bottom w:val="single" w:sz="6" w:space="1" w:color="auto"/>
        </w:pBdr>
        <w:rPr>
          <w:b/>
          <w:sz w:val="28"/>
          <w:szCs w:val="28"/>
          <w:lang w:val="fr-CA"/>
        </w:rPr>
      </w:pPr>
      <w:r>
        <w:rPr>
          <w:b/>
          <w:sz w:val="28"/>
          <w:szCs w:val="28"/>
          <w:lang w:val="fr-CA"/>
        </w:rPr>
        <w:t>Portail de donné</w:t>
      </w:r>
      <w:r w:rsidRPr="007F3DB9">
        <w:rPr>
          <w:b/>
          <w:sz w:val="28"/>
          <w:szCs w:val="28"/>
          <w:lang w:val="fr-CA"/>
        </w:rPr>
        <w:t>e</w:t>
      </w:r>
      <w:r>
        <w:rPr>
          <w:b/>
          <w:sz w:val="28"/>
          <w:szCs w:val="28"/>
          <w:lang w:val="fr-CA"/>
        </w:rPr>
        <w:t>s ouvertes</w:t>
      </w:r>
      <w:r w:rsidR="00F87179">
        <w:rPr>
          <w:b/>
          <w:sz w:val="28"/>
          <w:szCs w:val="28"/>
          <w:lang w:val="fr-CA"/>
        </w:rPr>
        <w:t xml:space="preserve">: </w:t>
      </w:r>
      <w:r w:rsidRPr="007F3DB9">
        <w:rPr>
          <w:b/>
          <w:sz w:val="28"/>
          <w:szCs w:val="28"/>
          <w:lang w:val="fr-CA"/>
        </w:rPr>
        <w:t xml:space="preserve">Gouvernement du </w:t>
      </w:r>
      <w:r w:rsidR="005E0472" w:rsidRPr="007F3DB9">
        <w:rPr>
          <w:b/>
          <w:sz w:val="28"/>
          <w:szCs w:val="28"/>
          <w:lang w:val="fr-CA"/>
        </w:rPr>
        <w:t>Canada</w:t>
      </w:r>
    </w:p>
    <w:p w:rsidR="00C57427" w:rsidRPr="00350FC3" w:rsidRDefault="00350FC3">
      <w:pPr>
        <w:rPr>
          <w:b/>
          <w:sz w:val="28"/>
          <w:szCs w:val="28"/>
          <w:lang w:val="fr-CA"/>
        </w:rPr>
      </w:pPr>
      <w:r w:rsidRPr="00350FC3">
        <w:rPr>
          <w:b/>
          <w:sz w:val="28"/>
          <w:szCs w:val="28"/>
          <w:lang w:val="fr-CA"/>
        </w:rPr>
        <w:t>Virus d</w:t>
      </w:r>
      <w:r w:rsidR="003F38AD">
        <w:rPr>
          <w:b/>
          <w:sz w:val="28"/>
          <w:szCs w:val="28"/>
          <w:lang w:val="fr-CA"/>
        </w:rPr>
        <w:t>u</w:t>
      </w:r>
      <w:r w:rsidRPr="00350FC3">
        <w:rPr>
          <w:b/>
          <w:sz w:val="28"/>
          <w:szCs w:val="28"/>
          <w:lang w:val="fr-CA"/>
        </w:rPr>
        <w:t xml:space="preserve"> Nil occidental rapport nation</w:t>
      </w:r>
      <w:r w:rsidR="009D4100">
        <w:rPr>
          <w:b/>
          <w:sz w:val="28"/>
          <w:szCs w:val="28"/>
          <w:lang w:val="fr-CA"/>
        </w:rPr>
        <w:t xml:space="preserve">al </w:t>
      </w:r>
      <w:r w:rsidRPr="00350FC3">
        <w:rPr>
          <w:b/>
          <w:sz w:val="28"/>
          <w:szCs w:val="28"/>
          <w:lang w:val="fr-CA"/>
        </w:rPr>
        <w:t>de surveillance</w:t>
      </w:r>
    </w:p>
    <w:p w:rsidR="00D279A2" w:rsidRPr="009D4100" w:rsidRDefault="00350FC3">
      <w:pPr>
        <w:rPr>
          <w:i/>
          <w:lang w:val="fr-CA"/>
        </w:rPr>
      </w:pPr>
      <w:r w:rsidRPr="00350FC3">
        <w:rPr>
          <w:b/>
          <w:sz w:val="28"/>
          <w:szCs w:val="28"/>
          <w:lang w:val="fr-CA"/>
        </w:rPr>
        <w:t xml:space="preserve">Virus du Nil occidental </w:t>
      </w:r>
      <w:r w:rsidRPr="009D4100">
        <w:rPr>
          <w:b/>
          <w:i/>
          <w:sz w:val="28"/>
          <w:szCs w:val="28"/>
          <w:lang w:val="fr-CA"/>
        </w:rPr>
        <w:t>Moniteur</w:t>
      </w:r>
    </w:p>
    <w:p w:rsidR="00D279A2" w:rsidRPr="00350FC3" w:rsidRDefault="00D279A2">
      <w:pPr>
        <w:rPr>
          <w:lang w:val="fr-CA"/>
        </w:rPr>
      </w:pPr>
    </w:p>
    <w:p w:rsidR="00D279A2" w:rsidRPr="007F3DB9" w:rsidRDefault="007F3DB9">
      <w:pPr>
        <w:rPr>
          <w:lang w:val="fr-CA"/>
        </w:rPr>
      </w:pPr>
      <w:r w:rsidRPr="007F3DB9">
        <w:rPr>
          <w:b/>
          <w:lang w:val="fr-CA"/>
        </w:rPr>
        <w:t xml:space="preserve">Variables de </w:t>
      </w:r>
      <w:proofErr w:type="spellStart"/>
      <w:r w:rsidRPr="007F3DB9">
        <w:rPr>
          <w:b/>
          <w:lang w:val="fr-CA"/>
        </w:rPr>
        <w:t>donneés</w:t>
      </w:r>
      <w:proofErr w:type="spellEnd"/>
      <w:r w:rsidR="00D279A2" w:rsidRPr="007F3DB9">
        <w:rPr>
          <w:b/>
          <w:lang w:val="fr-CA"/>
        </w:rPr>
        <w:t>:</w:t>
      </w:r>
    </w:p>
    <w:tbl>
      <w:tblPr>
        <w:tblStyle w:val="TableGrid"/>
        <w:tblW w:w="0" w:type="auto"/>
        <w:tblLook w:val="04A0" w:firstRow="1" w:lastRow="0" w:firstColumn="1" w:lastColumn="0" w:noHBand="0" w:noVBand="1"/>
      </w:tblPr>
      <w:tblGrid>
        <w:gridCol w:w="2943"/>
        <w:gridCol w:w="6633"/>
      </w:tblGrid>
      <w:tr w:rsidR="00D279A2" w:rsidRPr="00D279A2" w:rsidTr="00C55F37">
        <w:tc>
          <w:tcPr>
            <w:tcW w:w="2943" w:type="dxa"/>
          </w:tcPr>
          <w:p w:rsidR="00D279A2" w:rsidRPr="00D279A2" w:rsidRDefault="007F3DB9">
            <w:pPr>
              <w:rPr>
                <w:b/>
              </w:rPr>
            </w:pPr>
            <w:r>
              <w:rPr>
                <w:b/>
              </w:rPr>
              <w:t>Nom de la variable</w:t>
            </w:r>
          </w:p>
        </w:tc>
        <w:tc>
          <w:tcPr>
            <w:tcW w:w="6633" w:type="dxa"/>
          </w:tcPr>
          <w:p w:rsidR="00D279A2" w:rsidRPr="00D279A2" w:rsidRDefault="00D279A2">
            <w:pPr>
              <w:rPr>
                <w:b/>
              </w:rPr>
            </w:pPr>
            <w:r w:rsidRPr="00D279A2">
              <w:rPr>
                <w:b/>
              </w:rPr>
              <w:t>Description</w:t>
            </w:r>
          </w:p>
        </w:tc>
      </w:tr>
      <w:tr w:rsidR="00D279A2" w:rsidRPr="00F87179" w:rsidTr="00C55F37">
        <w:tc>
          <w:tcPr>
            <w:tcW w:w="2943" w:type="dxa"/>
          </w:tcPr>
          <w:p w:rsidR="00D279A2" w:rsidRDefault="007F3DB9" w:rsidP="00093DD1">
            <w:proofErr w:type="spellStart"/>
            <w:r>
              <w:t>Semaine</w:t>
            </w:r>
            <w:proofErr w:type="spellEnd"/>
            <w:r>
              <w:t xml:space="preserve"> </w:t>
            </w:r>
            <w:r w:rsidR="00F87179">
              <w:t xml:space="preserve">de </w:t>
            </w:r>
            <w:r w:rsidR="00093DD1">
              <w:t>surveillance</w:t>
            </w:r>
          </w:p>
        </w:tc>
        <w:tc>
          <w:tcPr>
            <w:tcW w:w="6633" w:type="dxa"/>
          </w:tcPr>
          <w:p w:rsidR="00D279A2" w:rsidRPr="007F3DB9" w:rsidRDefault="007F3DB9" w:rsidP="003055FA">
            <w:pPr>
              <w:rPr>
                <w:lang w:val="fr-CA"/>
              </w:rPr>
            </w:pPr>
            <w:r w:rsidRPr="007F3DB9">
              <w:rPr>
                <w:lang w:val="fr-CA"/>
              </w:rPr>
              <w:t>Une semaine de déclaration comprend 7 jours, commençant le dimanche</w:t>
            </w:r>
          </w:p>
        </w:tc>
      </w:tr>
      <w:tr w:rsidR="00D279A2" w:rsidRPr="00F87179" w:rsidTr="00C55F37">
        <w:tc>
          <w:tcPr>
            <w:tcW w:w="2943" w:type="dxa"/>
          </w:tcPr>
          <w:p w:rsidR="00D279A2" w:rsidRDefault="00C55F37">
            <w:r w:rsidRPr="00C55F37">
              <w:t xml:space="preserve">Syndrome </w:t>
            </w:r>
            <w:proofErr w:type="spellStart"/>
            <w:r w:rsidRPr="00C55F37">
              <w:t>Neurologique</w:t>
            </w:r>
            <w:proofErr w:type="spellEnd"/>
          </w:p>
        </w:tc>
        <w:tc>
          <w:tcPr>
            <w:tcW w:w="6633" w:type="dxa"/>
          </w:tcPr>
          <w:p w:rsidR="00D279A2" w:rsidRPr="007F3DB9" w:rsidRDefault="00F87179" w:rsidP="003F38AD">
            <w:pPr>
              <w:rPr>
                <w:lang w:val="fr-CA"/>
              </w:rPr>
            </w:pPr>
            <w:r>
              <w:rPr>
                <w:lang w:val="fr-CA"/>
              </w:rPr>
              <w:t xml:space="preserve"> </w:t>
            </w:r>
            <w:r w:rsidR="00350FC3" w:rsidRPr="007F3DB9">
              <w:rPr>
                <w:lang w:val="fr-CA"/>
              </w:rPr>
              <w:t>Syndrome neurologique liés au Virus du Nil occidental</w:t>
            </w:r>
            <w:r w:rsidR="00153F6F" w:rsidRPr="007F3DB9">
              <w:rPr>
                <w:vertAlign w:val="superscript"/>
                <w:lang w:val="fr-CA"/>
              </w:rPr>
              <w:t>1</w:t>
            </w:r>
          </w:p>
        </w:tc>
      </w:tr>
      <w:tr w:rsidR="00D279A2" w:rsidRPr="00F87179" w:rsidTr="00C55F37">
        <w:tc>
          <w:tcPr>
            <w:tcW w:w="2943" w:type="dxa"/>
          </w:tcPr>
          <w:p w:rsidR="00D279A2" w:rsidRDefault="00C55F37">
            <w:r w:rsidRPr="00C55F37">
              <w:t>Syndrome Non-</w:t>
            </w:r>
            <w:proofErr w:type="spellStart"/>
            <w:r w:rsidRPr="00C55F37">
              <w:t>Neurologique</w:t>
            </w:r>
            <w:proofErr w:type="spellEnd"/>
          </w:p>
        </w:tc>
        <w:tc>
          <w:tcPr>
            <w:tcW w:w="6633" w:type="dxa"/>
          </w:tcPr>
          <w:p w:rsidR="00D279A2" w:rsidRPr="00350FC3" w:rsidRDefault="00F87179" w:rsidP="003F79C8">
            <w:pPr>
              <w:rPr>
                <w:lang w:val="fr-CA"/>
              </w:rPr>
            </w:pPr>
            <w:r>
              <w:rPr>
                <w:lang w:val="fr-CA"/>
              </w:rPr>
              <w:t xml:space="preserve"> </w:t>
            </w:r>
            <w:r w:rsidR="00350FC3" w:rsidRPr="00350FC3">
              <w:rPr>
                <w:lang w:val="fr-CA"/>
              </w:rPr>
              <w:t>Syndrome non</w:t>
            </w:r>
            <w:r w:rsidR="003F79C8">
              <w:rPr>
                <w:lang w:val="fr-CA"/>
              </w:rPr>
              <w:t>-</w:t>
            </w:r>
            <w:r w:rsidR="00350FC3" w:rsidRPr="00350FC3">
              <w:rPr>
                <w:lang w:val="fr-CA"/>
              </w:rPr>
              <w:t>neurologique liés au Virus du Nil occidental</w:t>
            </w:r>
            <w:r w:rsidR="00153F6F" w:rsidRPr="00350FC3">
              <w:rPr>
                <w:vertAlign w:val="superscript"/>
                <w:lang w:val="fr-CA"/>
              </w:rPr>
              <w:t>1</w:t>
            </w:r>
          </w:p>
        </w:tc>
      </w:tr>
      <w:tr w:rsidR="00D279A2" w:rsidRPr="00223A56" w:rsidTr="00C55F37">
        <w:tc>
          <w:tcPr>
            <w:tcW w:w="2943" w:type="dxa"/>
          </w:tcPr>
          <w:p w:rsidR="00D279A2" w:rsidRPr="005840E7" w:rsidRDefault="00093DD1" w:rsidP="00093DD1">
            <w:r w:rsidRPr="00093DD1">
              <w:t>Non-</w:t>
            </w:r>
            <w:proofErr w:type="spellStart"/>
            <w:r w:rsidRPr="00093DD1">
              <w:t>classifié</w:t>
            </w:r>
            <w:proofErr w:type="spellEnd"/>
            <w:r w:rsidRPr="00093DD1">
              <w:t xml:space="preserve"> / Non-</w:t>
            </w:r>
            <w:proofErr w:type="spellStart"/>
            <w:r w:rsidRPr="00093DD1">
              <w:t>spécifié</w:t>
            </w:r>
            <w:proofErr w:type="spellEnd"/>
            <w:r w:rsidR="009D4100">
              <w:t xml:space="preserve"> </w:t>
            </w:r>
            <w:r w:rsidR="005840E7">
              <w:rPr>
                <w:vertAlign w:val="superscript"/>
              </w:rPr>
              <w:t xml:space="preserve">1 </w:t>
            </w:r>
          </w:p>
        </w:tc>
        <w:tc>
          <w:tcPr>
            <w:tcW w:w="6633" w:type="dxa"/>
          </w:tcPr>
          <w:p w:rsidR="00D279A2" w:rsidRPr="00223A56" w:rsidRDefault="00223A56" w:rsidP="003F79C8">
            <w:pPr>
              <w:rPr>
                <w:lang w:val="fr-CA"/>
              </w:rPr>
            </w:pPr>
            <w:r w:rsidRPr="00223A56">
              <w:rPr>
                <w:lang w:val="fr-CA"/>
              </w:rPr>
              <w:t xml:space="preserve">VNO probables et confirmés de cas cliniques pour lesquels des informations disponibles sont insuffisantes pour classer soit comme </w:t>
            </w:r>
            <w:r w:rsidR="003F79C8">
              <w:rPr>
                <w:lang w:val="fr-CA"/>
              </w:rPr>
              <w:t>Syndrome N</w:t>
            </w:r>
            <w:r w:rsidRPr="007F3DB9">
              <w:rPr>
                <w:lang w:val="fr-CA"/>
              </w:rPr>
              <w:t>eurologique</w:t>
            </w:r>
            <w:r w:rsidRPr="00223A56">
              <w:rPr>
                <w:lang w:val="fr-CA"/>
              </w:rPr>
              <w:t xml:space="preserve"> ou </w:t>
            </w:r>
            <w:r w:rsidR="001654E4" w:rsidRPr="001654E4">
              <w:rPr>
                <w:lang w:val="fr-CA"/>
              </w:rPr>
              <w:t xml:space="preserve">Syndrome </w:t>
            </w:r>
            <w:r w:rsidR="003F79C8">
              <w:rPr>
                <w:lang w:val="fr-CA"/>
              </w:rPr>
              <w:t>Non-</w:t>
            </w:r>
            <w:bookmarkStart w:id="0" w:name="_GoBack"/>
            <w:bookmarkEnd w:id="0"/>
            <w:r w:rsidR="003F79C8">
              <w:rPr>
                <w:lang w:val="fr-CA"/>
              </w:rPr>
              <w:t>N</w:t>
            </w:r>
            <w:r w:rsidR="001654E4" w:rsidRPr="001654E4">
              <w:rPr>
                <w:lang w:val="fr-CA"/>
              </w:rPr>
              <w:t>eurologique</w:t>
            </w:r>
          </w:p>
        </w:tc>
      </w:tr>
      <w:tr w:rsidR="00D279A2" w:rsidRPr="00F87179" w:rsidTr="00C55F37">
        <w:tc>
          <w:tcPr>
            <w:tcW w:w="2943" w:type="dxa"/>
          </w:tcPr>
          <w:p w:rsidR="00D279A2" w:rsidRPr="00223A56" w:rsidRDefault="00B535FE" w:rsidP="00C55F37">
            <w:pPr>
              <w:rPr>
                <w:lang w:val="fr-CA"/>
              </w:rPr>
            </w:pPr>
            <w:r w:rsidRPr="00B535FE">
              <w:rPr>
                <w:lang w:val="fr-CA"/>
              </w:rPr>
              <w:t>Cas cliniques totaux</w:t>
            </w:r>
          </w:p>
        </w:tc>
        <w:tc>
          <w:tcPr>
            <w:tcW w:w="6633" w:type="dxa"/>
          </w:tcPr>
          <w:p w:rsidR="00D279A2" w:rsidRPr="00093DD1" w:rsidRDefault="00093DD1" w:rsidP="009D4100">
            <w:pPr>
              <w:rPr>
                <w:lang w:val="fr-CA"/>
              </w:rPr>
            </w:pPr>
            <w:r w:rsidRPr="00093DD1">
              <w:rPr>
                <w:lang w:val="fr-CA"/>
              </w:rPr>
              <w:t>Le total de cas cliniques probables confirmés VNO est la somme de Syndrome Neurologique + Syndrome Non-Neurologique + Non-classifié / Non-spécifié</w:t>
            </w:r>
          </w:p>
        </w:tc>
      </w:tr>
      <w:tr w:rsidR="00D279A2" w:rsidRPr="00F87179" w:rsidTr="00C55F37">
        <w:tc>
          <w:tcPr>
            <w:tcW w:w="2943" w:type="dxa"/>
          </w:tcPr>
          <w:p w:rsidR="00D279A2" w:rsidRDefault="00C55F37" w:rsidP="000B2C0C">
            <w:r w:rsidRPr="00C55F37">
              <w:t xml:space="preserve">Infection </w:t>
            </w:r>
            <w:proofErr w:type="spellStart"/>
            <w:r w:rsidRPr="00C55F37">
              <w:t>Asym</w:t>
            </w:r>
            <w:r w:rsidR="000B2C0C">
              <w:t>p</w:t>
            </w:r>
            <w:r w:rsidRPr="00C55F37">
              <w:t>tomatique</w:t>
            </w:r>
            <w:proofErr w:type="spellEnd"/>
          </w:p>
        </w:tc>
        <w:tc>
          <w:tcPr>
            <w:tcW w:w="6633" w:type="dxa"/>
          </w:tcPr>
          <w:p w:rsidR="00037099" w:rsidRPr="003F38AD" w:rsidRDefault="009D4100">
            <w:pPr>
              <w:rPr>
                <w:lang w:val="fr-CA"/>
              </w:rPr>
            </w:pPr>
            <w:r w:rsidRPr="009D4100">
              <w:rPr>
                <w:lang w:val="fr-CA"/>
              </w:rPr>
              <w:t xml:space="preserve">Infections asymptomatiques par le virus du Nil </w:t>
            </w:r>
            <w:proofErr w:type="gramStart"/>
            <w:r w:rsidRPr="009D4100">
              <w:rPr>
                <w:lang w:val="fr-CA"/>
              </w:rPr>
              <w:t>occidental</w:t>
            </w:r>
            <w:r w:rsidR="003F38AD">
              <w:rPr>
                <w:vertAlign w:val="superscript"/>
                <w:lang w:val="fr-CA"/>
              </w:rPr>
              <w:t xml:space="preserve">1 </w:t>
            </w:r>
            <w:r w:rsidR="003F38AD">
              <w:rPr>
                <w:lang w:val="fr-CA"/>
              </w:rPr>
              <w:t>.</w:t>
            </w:r>
            <w:proofErr w:type="gramEnd"/>
          </w:p>
          <w:p w:rsidR="00D279A2" w:rsidRPr="007F3DB9" w:rsidRDefault="007F3DB9">
            <w:pPr>
              <w:rPr>
                <w:lang w:val="fr-CA"/>
              </w:rPr>
            </w:pPr>
            <w:r w:rsidRPr="007F3DB9">
              <w:rPr>
                <w:lang w:val="fr-CA"/>
              </w:rPr>
              <w:t xml:space="preserve">Répondent aux critères du test de diagnostic du virus du Nil occidental en l'absence de critères cliniques. Cette catégorie peut comprendre les donneurs du sang asymptomatiques dont le sang est testé à l'aide d'un test d'amplification des acides nucléiques (TAAN) par les opérateurs du système d'approvisionnement en sang (c.-à-d. Société canadienne du sang et </w:t>
            </w:r>
            <w:proofErr w:type="spellStart"/>
            <w:r w:rsidRPr="007F3DB9">
              <w:rPr>
                <w:lang w:val="fr-CA"/>
              </w:rPr>
              <w:t>Héma</w:t>
            </w:r>
            <w:proofErr w:type="spellEnd"/>
            <w:r w:rsidRPr="007F3DB9">
              <w:rPr>
                <w:lang w:val="fr-CA"/>
              </w:rPr>
              <w:t>-Québec) et est par la suite porté à l'attention des responsables de la santé publique. Les opérateurs du système d'approvisionnement en sang du Canada procèdent à un TAAN supplémentaire pour le virus du Nil occidental à la suite de tout résultat positif au test de dépistage des donneurs.</w:t>
            </w:r>
          </w:p>
        </w:tc>
      </w:tr>
    </w:tbl>
    <w:p w:rsidR="00D279A2" w:rsidRPr="007F3DB9" w:rsidRDefault="00D279A2">
      <w:pPr>
        <w:rPr>
          <w:lang w:val="fr-CA"/>
        </w:rPr>
      </w:pPr>
    </w:p>
    <w:p w:rsidR="00153F6F" w:rsidRPr="007F3DB9" w:rsidRDefault="00153F6F" w:rsidP="00153F6F">
      <w:pPr>
        <w:spacing w:after="0" w:line="240" w:lineRule="auto"/>
        <w:rPr>
          <w:sz w:val="18"/>
          <w:szCs w:val="18"/>
          <w:lang w:val="fr-CA"/>
        </w:rPr>
      </w:pPr>
      <w:r w:rsidRPr="007F3DB9">
        <w:rPr>
          <w:sz w:val="18"/>
          <w:szCs w:val="18"/>
          <w:vertAlign w:val="superscript"/>
          <w:lang w:val="fr-CA"/>
        </w:rPr>
        <w:t xml:space="preserve">1 </w:t>
      </w:r>
      <w:r w:rsidR="007F3DB9" w:rsidRPr="007F3DB9">
        <w:rPr>
          <w:sz w:val="18"/>
          <w:szCs w:val="18"/>
          <w:lang w:val="fr-CA"/>
        </w:rPr>
        <w:t>Les définitions de cas peuvent être accessibles par le lien suivant</w:t>
      </w:r>
      <w:r w:rsidRPr="007F3DB9">
        <w:rPr>
          <w:sz w:val="18"/>
          <w:szCs w:val="18"/>
          <w:lang w:val="fr-CA"/>
        </w:rPr>
        <w:t xml:space="preserve">: </w:t>
      </w:r>
      <w:r w:rsidR="007F3DB9" w:rsidRPr="007F3DB9">
        <w:rPr>
          <w:sz w:val="18"/>
          <w:szCs w:val="18"/>
          <w:lang w:val="fr-CA"/>
        </w:rPr>
        <w:t>http://www.phac-aspc.gc.ca/wnv-vwn/hmncasedef-fra.php</w:t>
      </w:r>
    </w:p>
    <w:p w:rsidR="00916947" w:rsidRPr="007F3DB9" w:rsidRDefault="00916947" w:rsidP="00D279A2">
      <w:pPr>
        <w:spacing w:after="0" w:line="240" w:lineRule="auto"/>
        <w:rPr>
          <w:b/>
          <w:sz w:val="20"/>
          <w:szCs w:val="20"/>
          <w:lang w:val="fr-CA"/>
        </w:rPr>
      </w:pPr>
    </w:p>
    <w:p w:rsidR="001E4B2A" w:rsidRPr="007F3DB9" w:rsidRDefault="001E4B2A" w:rsidP="00D279A2">
      <w:pPr>
        <w:spacing w:after="0" w:line="240" w:lineRule="auto"/>
        <w:rPr>
          <w:b/>
          <w:sz w:val="20"/>
          <w:szCs w:val="20"/>
          <w:lang w:val="fr-CA"/>
        </w:rPr>
      </w:pPr>
    </w:p>
    <w:p w:rsidR="001E4B2A" w:rsidRPr="007F3DB9" w:rsidRDefault="001E4B2A" w:rsidP="00D279A2">
      <w:pPr>
        <w:spacing w:after="0" w:line="240" w:lineRule="auto"/>
        <w:rPr>
          <w:b/>
          <w:sz w:val="20"/>
          <w:szCs w:val="20"/>
          <w:lang w:val="fr-CA"/>
        </w:rPr>
      </w:pPr>
    </w:p>
    <w:p w:rsidR="00D279A2" w:rsidRPr="00880CB9" w:rsidRDefault="007F3DB9" w:rsidP="00D279A2">
      <w:pPr>
        <w:spacing w:after="0" w:line="240" w:lineRule="auto"/>
        <w:rPr>
          <w:b/>
          <w:sz w:val="20"/>
          <w:szCs w:val="20"/>
          <w:lang w:val="fr-CA"/>
        </w:rPr>
      </w:pPr>
      <w:r w:rsidRPr="00880CB9">
        <w:rPr>
          <w:b/>
          <w:sz w:val="20"/>
          <w:szCs w:val="20"/>
          <w:lang w:val="fr-CA"/>
        </w:rPr>
        <w:t>Remerciements</w:t>
      </w:r>
      <w:r w:rsidR="00D279A2" w:rsidRPr="00880CB9">
        <w:rPr>
          <w:b/>
          <w:sz w:val="20"/>
          <w:szCs w:val="20"/>
          <w:lang w:val="fr-CA"/>
        </w:rPr>
        <w:t>:</w:t>
      </w:r>
    </w:p>
    <w:p w:rsidR="00D279A2" w:rsidRPr="00880CB9" w:rsidRDefault="00880CB9" w:rsidP="00880CB9">
      <w:pPr>
        <w:rPr>
          <w:lang w:val="fr-CA"/>
        </w:rPr>
      </w:pPr>
      <w:r w:rsidRPr="00880CB9">
        <w:rPr>
          <w:rFonts w:cstheme="minorHAnsi"/>
          <w:color w:val="000000"/>
          <w:sz w:val="18"/>
          <w:szCs w:val="18"/>
          <w:lang w:val="fr-CA"/>
        </w:rPr>
        <w:t xml:space="preserve">Ces données ont été rendues possibles grâce à la collaboration entre l'Agence de </w:t>
      </w:r>
      <w:r w:rsidR="006110A0">
        <w:rPr>
          <w:rFonts w:cstheme="minorHAnsi"/>
          <w:color w:val="000000"/>
          <w:sz w:val="18"/>
          <w:szCs w:val="18"/>
          <w:lang w:val="fr-CA"/>
        </w:rPr>
        <w:t xml:space="preserve">la </w:t>
      </w:r>
      <w:r w:rsidRPr="00880CB9">
        <w:rPr>
          <w:rFonts w:cstheme="minorHAnsi"/>
          <w:color w:val="000000"/>
          <w:sz w:val="18"/>
          <w:szCs w:val="18"/>
          <w:lang w:val="fr-CA"/>
        </w:rPr>
        <w:t>santé publique du Canada et les gouvernements provinciaux respectifs de Terre-Neuve-et-Labrador, Île-du-Prince-Édouard, Nouvelle-Écosse, Nouveau-Brunswick, Québec, Ontario, Manitoba, Saskatchewan, Alberta, Colombie-Britannique, du Yukon, du Nord-Ouest Territoires et le Nunavut.</w:t>
      </w:r>
    </w:p>
    <w:sectPr w:rsidR="00D279A2" w:rsidRPr="0088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A2"/>
    <w:rsid w:val="00007D75"/>
    <w:rsid w:val="00026131"/>
    <w:rsid w:val="00037099"/>
    <w:rsid w:val="00041B82"/>
    <w:rsid w:val="000455E0"/>
    <w:rsid w:val="00050B23"/>
    <w:rsid w:val="00056FEB"/>
    <w:rsid w:val="00071ED1"/>
    <w:rsid w:val="00087B42"/>
    <w:rsid w:val="00093DD1"/>
    <w:rsid w:val="000A7E6C"/>
    <w:rsid w:val="000B2C0C"/>
    <w:rsid w:val="000D00C8"/>
    <w:rsid w:val="000E5225"/>
    <w:rsid w:val="000E744E"/>
    <w:rsid w:val="000F624C"/>
    <w:rsid w:val="001048F6"/>
    <w:rsid w:val="00107651"/>
    <w:rsid w:val="00124CBC"/>
    <w:rsid w:val="00151DC7"/>
    <w:rsid w:val="00153F6F"/>
    <w:rsid w:val="0015444C"/>
    <w:rsid w:val="00160886"/>
    <w:rsid w:val="00163A0A"/>
    <w:rsid w:val="001654E4"/>
    <w:rsid w:val="00165CFA"/>
    <w:rsid w:val="001908E9"/>
    <w:rsid w:val="00196C5A"/>
    <w:rsid w:val="001A7DB0"/>
    <w:rsid w:val="001A7DE9"/>
    <w:rsid w:val="001B23B2"/>
    <w:rsid w:val="001B7613"/>
    <w:rsid w:val="001C12F5"/>
    <w:rsid w:val="001E4B2A"/>
    <w:rsid w:val="001F4CC8"/>
    <w:rsid w:val="002035F1"/>
    <w:rsid w:val="002118DA"/>
    <w:rsid w:val="002149F6"/>
    <w:rsid w:val="00222385"/>
    <w:rsid w:val="00223A56"/>
    <w:rsid w:val="00232978"/>
    <w:rsid w:val="00234707"/>
    <w:rsid w:val="0024626F"/>
    <w:rsid w:val="00253F58"/>
    <w:rsid w:val="00255D90"/>
    <w:rsid w:val="002678FF"/>
    <w:rsid w:val="00267F45"/>
    <w:rsid w:val="002726CD"/>
    <w:rsid w:val="0027314B"/>
    <w:rsid w:val="00277B8C"/>
    <w:rsid w:val="0028070B"/>
    <w:rsid w:val="00292AFD"/>
    <w:rsid w:val="002B417A"/>
    <w:rsid w:val="002B7BB8"/>
    <w:rsid w:val="002C0AC6"/>
    <w:rsid w:val="002E2813"/>
    <w:rsid w:val="002F00E4"/>
    <w:rsid w:val="003055FA"/>
    <w:rsid w:val="00320708"/>
    <w:rsid w:val="00336DFE"/>
    <w:rsid w:val="0034240C"/>
    <w:rsid w:val="00345587"/>
    <w:rsid w:val="003502FA"/>
    <w:rsid w:val="00350FC3"/>
    <w:rsid w:val="00352F48"/>
    <w:rsid w:val="00353CE7"/>
    <w:rsid w:val="00361A4B"/>
    <w:rsid w:val="00380071"/>
    <w:rsid w:val="00385424"/>
    <w:rsid w:val="00390A62"/>
    <w:rsid w:val="0039540C"/>
    <w:rsid w:val="003A1E4C"/>
    <w:rsid w:val="003A3F0F"/>
    <w:rsid w:val="003C047B"/>
    <w:rsid w:val="003C049A"/>
    <w:rsid w:val="003D1A5D"/>
    <w:rsid w:val="003F38AD"/>
    <w:rsid w:val="003F79C8"/>
    <w:rsid w:val="00422C79"/>
    <w:rsid w:val="004340FD"/>
    <w:rsid w:val="00440812"/>
    <w:rsid w:val="0044371A"/>
    <w:rsid w:val="004479B0"/>
    <w:rsid w:val="00452740"/>
    <w:rsid w:val="00494BAE"/>
    <w:rsid w:val="00497AF2"/>
    <w:rsid w:val="004B40A0"/>
    <w:rsid w:val="004C0EBF"/>
    <w:rsid w:val="004C32A4"/>
    <w:rsid w:val="004D6131"/>
    <w:rsid w:val="004D71B7"/>
    <w:rsid w:val="004E1427"/>
    <w:rsid w:val="004F4038"/>
    <w:rsid w:val="004F4FFB"/>
    <w:rsid w:val="004F6618"/>
    <w:rsid w:val="00501704"/>
    <w:rsid w:val="00512D90"/>
    <w:rsid w:val="00526EAE"/>
    <w:rsid w:val="005406C0"/>
    <w:rsid w:val="00563ABB"/>
    <w:rsid w:val="005735E0"/>
    <w:rsid w:val="00580391"/>
    <w:rsid w:val="005840E7"/>
    <w:rsid w:val="0058731A"/>
    <w:rsid w:val="005908BA"/>
    <w:rsid w:val="00594BD6"/>
    <w:rsid w:val="005B2138"/>
    <w:rsid w:val="005C069B"/>
    <w:rsid w:val="005C625A"/>
    <w:rsid w:val="005E0472"/>
    <w:rsid w:val="005F1984"/>
    <w:rsid w:val="005F5522"/>
    <w:rsid w:val="005F5D84"/>
    <w:rsid w:val="00600641"/>
    <w:rsid w:val="00607B1D"/>
    <w:rsid w:val="00607D84"/>
    <w:rsid w:val="006110A0"/>
    <w:rsid w:val="006269A5"/>
    <w:rsid w:val="00633DBF"/>
    <w:rsid w:val="006354E6"/>
    <w:rsid w:val="00635E16"/>
    <w:rsid w:val="00640B73"/>
    <w:rsid w:val="00644337"/>
    <w:rsid w:val="00644EB1"/>
    <w:rsid w:val="00646193"/>
    <w:rsid w:val="00652331"/>
    <w:rsid w:val="006617E3"/>
    <w:rsid w:val="00670213"/>
    <w:rsid w:val="006707BC"/>
    <w:rsid w:val="00670F3C"/>
    <w:rsid w:val="00685A22"/>
    <w:rsid w:val="006A1C18"/>
    <w:rsid w:val="006A5966"/>
    <w:rsid w:val="006D647A"/>
    <w:rsid w:val="006E6178"/>
    <w:rsid w:val="006E6FFF"/>
    <w:rsid w:val="00711D6E"/>
    <w:rsid w:val="00730164"/>
    <w:rsid w:val="0073257C"/>
    <w:rsid w:val="00733B3C"/>
    <w:rsid w:val="00745136"/>
    <w:rsid w:val="0074566C"/>
    <w:rsid w:val="0078662E"/>
    <w:rsid w:val="00786D59"/>
    <w:rsid w:val="00793349"/>
    <w:rsid w:val="007A4643"/>
    <w:rsid w:val="007A4FA9"/>
    <w:rsid w:val="007B4571"/>
    <w:rsid w:val="007D3573"/>
    <w:rsid w:val="007D5F71"/>
    <w:rsid w:val="007F3DB9"/>
    <w:rsid w:val="007F7C4B"/>
    <w:rsid w:val="00814E86"/>
    <w:rsid w:val="00827F32"/>
    <w:rsid w:val="00832761"/>
    <w:rsid w:val="00872918"/>
    <w:rsid w:val="00877589"/>
    <w:rsid w:val="00880CB9"/>
    <w:rsid w:val="00887B4C"/>
    <w:rsid w:val="008C2663"/>
    <w:rsid w:val="008C6F75"/>
    <w:rsid w:val="008D111D"/>
    <w:rsid w:val="008D1AE9"/>
    <w:rsid w:val="008E12A7"/>
    <w:rsid w:val="008F2D3F"/>
    <w:rsid w:val="00902789"/>
    <w:rsid w:val="0090552C"/>
    <w:rsid w:val="00907B8B"/>
    <w:rsid w:val="00910147"/>
    <w:rsid w:val="00914793"/>
    <w:rsid w:val="00916947"/>
    <w:rsid w:val="00920AA5"/>
    <w:rsid w:val="00925540"/>
    <w:rsid w:val="0093285D"/>
    <w:rsid w:val="009569E0"/>
    <w:rsid w:val="00965570"/>
    <w:rsid w:val="00983924"/>
    <w:rsid w:val="00984131"/>
    <w:rsid w:val="009924ED"/>
    <w:rsid w:val="00994831"/>
    <w:rsid w:val="00997A1B"/>
    <w:rsid w:val="009B178C"/>
    <w:rsid w:val="009B6F60"/>
    <w:rsid w:val="009C400B"/>
    <w:rsid w:val="009D0890"/>
    <w:rsid w:val="009D4100"/>
    <w:rsid w:val="009E3497"/>
    <w:rsid w:val="009E580F"/>
    <w:rsid w:val="00A07617"/>
    <w:rsid w:val="00A40C2C"/>
    <w:rsid w:val="00A441DF"/>
    <w:rsid w:val="00A5394C"/>
    <w:rsid w:val="00A61F68"/>
    <w:rsid w:val="00A743BA"/>
    <w:rsid w:val="00A82CF6"/>
    <w:rsid w:val="00A93DE4"/>
    <w:rsid w:val="00AA2B4C"/>
    <w:rsid w:val="00AA6AE3"/>
    <w:rsid w:val="00AB1487"/>
    <w:rsid w:val="00AB4F42"/>
    <w:rsid w:val="00AC1644"/>
    <w:rsid w:val="00AC329C"/>
    <w:rsid w:val="00AE40F7"/>
    <w:rsid w:val="00AE5F05"/>
    <w:rsid w:val="00B024F5"/>
    <w:rsid w:val="00B1639B"/>
    <w:rsid w:val="00B22FEB"/>
    <w:rsid w:val="00B2455A"/>
    <w:rsid w:val="00B472F6"/>
    <w:rsid w:val="00B5071E"/>
    <w:rsid w:val="00B535FE"/>
    <w:rsid w:val="00B6494F"/>
    <w:rsid w:val="00B64E15"/>
    <w:rsid w:val="00B7255F"/>
    <w:rsid w:val="00B74BF8"/>
    <w:rsid w:val="00B94BCA"/>
    <w:rsid w:val="00B9557B"/>
    <w:rsid w:val="00BA541E"/>
    <w:rsid w:val="00BB2A0F"/>
    <w:rsid w:val="00BB31EE"/>
    <w:rsid w:val="00BB34D2"/>
    <w:rsid w:val="00BB5055"/>
    <w:rsid w:val="00BC47BE"/>
    <w:rsid w:val="00BD035D"/>
    <w:rsid w:val="00BE2703"/>
    <w:rsid w:val="00BE65A2"/>
    <w:rsid w:val="00BF685E"/>
    <w:rsid w:val="00C10A24"/>
    <w:rsid w:val="00C229BF"/>
    <w:rsid w:val="00C26348"/>
    <w:rsid w:val="00C322D7"/>
    <w:rsid w:val="00C55F37"/>
    <w:rsid w:val="00C57427"/>
    <w:rsid w:val="00C6094E"/>
    <w:rsid w:val="00C66104"/>
    <w:rsid w:val="00C71885"/>
    <w:rsid w:val="00C71A3C"/>
    <w:rsid w:val="00C810BF"/>
    <w:rsid w:val="00C97FD6"/>
    <w:rsid w:val="00CA3CF0"/>
    <w:rsid w:val="00CA4572"/>
    <w:rsid w:val="00CB3B83"/>
    <w:rsid w:val="00CC1360"/>
    <w:rsid w:val="00CC6910"/>
    <w:rsid w:val="00CD3DAE"/>
    <w:rsid w:val="00CE5988"/>
    <w:rsid w:val="00CE5C2E"/>
    <w:rsid w:val="00CF6C13"/>
    <w:rsid w:val="00D10786"/>
    <w:rsid w:val="00D11730"/>
    <w:rsid w:val="00D126DD"/>
    <w:rsid w:val="00D1376D"/>
    <w:rsid w:val="00D232F4"/>
    <w:rsid w:val="00D279A2"/>
    <w:rsid w:val="00D375DD"/>
    <w:rsid w:val="00D47D7E"/>
    <w:rsid w:val="00D51595"/>
    <w:rsid w:val="00D65C34"/>
    <w:rsid w:val="00D732B3"/>
    <w:rsid w:val="00D762E8"/>
    <w:rsid w:val="00D91CD4"/>
    <w:rsid w:val="00D95F55"/>
    <w:rsid w:val="00D97AC6"/>
    <w:rsid w:val="00DA0D96"/>
    <w:rsid w:val="00DA61B3"/>
    <w:rsid w:val="00DC65E3"/>
    <w:rsid w:val="00DC7DB9"/>
    <w:rsid w:val="00DD0510"/>
    <w:rsid w:val="00DD3AA3"/>
    <w:rsid w:val="00DD69D5"/>
    <w:rsid w:val="00DD6EEF"/>
    <w:rsid w:val="00DE5936"/>
    <w:rsid w:val="00DE6827"/>
    <w:rsid w:val="00DF44F9"/>
    <w:rsid w:val="00E01C51"/>
    <w:rsid w:val="00E0626C"/>
    <w:rsid w:val="00E2033F"/>
    <w:rsid w:val="00E23868"/>
    <w:rsid w:val="00E304D1"/>
    <w:rsid w:val="00E31E1D"/>
    <w:rsid w:val="00E344B6"/>
    <w:rsid w:val="00E447CE"/>
    <w:rsid w:val="00E60725"/>
    <w:rsid w:val="00E63AA1"/>
    <w:rsid w:val="00E65159"/>
    <w:rsid w:val="00E83FFA"/>
    <w:rsid w:val="00E9339C"/>
    <w:rsid w:val="00E97B88"/>
    <w:rsid w:val="00EA1153"/>
    <w:rsid w:val="00EA163C"/>
    <w:rsid w:val="00EB1B83"/>
    <w:rsid w:val="00EB2DE7"/>
    <w:rsid w:val="00EC2B95"/>
    <w:rsid w:val="00EC496D"/>
    <w:rsid w:val="00ED1AD2"/>
    <w:rsid w:val="00EF4253"/>
    <w:rsid w:val="00EF7621"/>
    <w:rsid w:val="00F12157"/>
    <w:rsid w:val="00F14C27"/>
    <w:rsid w:val="00F23A7F"/>
    <w:rsid w:val="00F27E03"/>
    <w:rsid w:val="00F34385"/>
    <w:rsid w:val="00F42A79"/>
    <w:rsid w:val="00F51468"/>
    <w:rsid w:val="00F51EBF"/>
    <w:rsid w:val="00F52735"/>
    <w:rsid w:val="00F6780E"/>
    <w:rsid w:val="00F72BE8"/>
    <w:rsid w:val="00F87179"/>
    <w:rsid w:val="00F91366"/>
    <w:rsid w:val="00F943DD"/>
    <w:rsid w:val="00F949B0"/>
    <w:rsid w:val="00FB06B2"/>
    <w:rsid w:val="00FB7904"/>
    <w:rsid w:val="00FC43CE"/>
    <w:rsid w:val="00FE00BD"/>
    <w:rsid w:val="00FE47DC"/>
    <w:rsid w:val="00FF02EA"/>
    <w:rsid w:val="00FF0A57"/>
    <w:rsid w:val="00FF2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111">
      <w:bodyDiv w:val="1"/>
      <w:marLeft w:val="0"/>
      <w:marRight w:val="0"/>
      <w:marTop w:val="0"/>
      <w:marBottom w:val="0"/>
      <w:divBdr>
        <w:top w:val="none" w:sz="0" w:space="0" w:color="auto"/>
        <w:left w:val="none" w:sz="0" w:space="0" w:color="auto"/>
        <w:bottom w:val="none" w:sz="0" w:space="0" w:color="auto"/>
        <w:right w:val="none" w:sz="0" w:space="0" w:color="auto"/>
      </w:divBdr>
      <w:divsChild>
        <w:div w:id="469639181">
          <w:marLeft w:val="0"/>
          <w:marRight w:val="0"/>
          <w:marTop w:val="0"/>
          <w:marBottom w:val="0"/>
          <w:divBdr>
            <w:top w:val="none" w:sz="0" w:space="0" w:color="auto"/>
            <w:left w:val="none" w:sz="0" w:space="0" w:color="auto"/>
            <w:bottom w:val="none" w:sz="0" w:space="0" w:color="auto"/>
            <w:right w:val="none" w:sz="0" w:space="0" w:color="auto"/>
          </w:divBdr>
          <w:divsChild>
            <w:div w:id="1501580341">
              <w:marLeft w:val="0"/>
              <w:marRight w:val="0"/>
              <w:marTop w:val="0"/>
              <w:marBottom w:val="0"/>
              <w:divBdr>
                <w:top w:val="none" w:sz="0" w:space="0" w:color="auto"/>
                <w:left w:val="none" w:sz="0" w:space="0" w:color="auto"/>
                <w:bottom w:val="none" w:sz="0" w:space="0" w:color="auto"/>
                <w:right w:val="none" w:sz="0" w:space="0" w:color="auto"/>
              </w:divBdr>
              <w:divsChild>
                <w:div w:id="798691351">
                  <w:marLeft w:val="0"/>
                  <w:marRight w:val="0"/>
                  <w:marTop w:val="0"/>
                  <w:marBottom w:val="0"/>
                  <w:divBdr>
                    <w:top w:val="none" w:sz="0" w:space="0" w:color="auto"/>
                    <w:left w:val="none" w:sz="0" w:space="0" w:color="auto"/>
                    <w:bottom w:val="none" w:sz="0" w:space="0" w:color="auto"/>
                    <w:right w:val="none" w:sz="0" w:space="0" w:color="auto"/>
                  </w:divBdr>
                  <w:divsChild>
                    <w:div w:id="368721418">
                      <w:marLeft w:val="0"/>
                      <w:marRight w:val="0"/>
                      <w:marTop w:val="0"/>
                      <w:marBottom w:val="0"/>
                      <w:divBdr>
                        <w:top w:val="none" w:sz="0" w:space="0" w:color="auto"/>
                        <w:left w:val="none" w:sz="0" w:space="0" w:color="auto"/>
                        <w:bottom w:val="none" w:sz="0" w:space="0" w:color="auto"/>
                        <w:right w:val="none" w:sz="0" w:space="0" w:color="auto"/>
                      </w:divBdr>
                      <w:divsChild>
                        <w:div w:id="824902089">
                          <w:marLeft w:val="0"/>
                          <w:marRight w:val="0"/>
                          <w:marTop w:val="0"/>
                          <w:marBottom w:val="0"/>
                          <w:divBdr>
                            <w:top w:val="none" w:sz="0" w:space="0" w:color="auto"/>
                            <w:left w:val="none" w:sz="0" w:space="0" w:color="auto"/>
                            <w:bottom w:val="none" w:sz="0" w:space="0" w:color="auto"/>
                            <w:right w:val="none" w:sz="0" w:space="0" w:color="auto"/>
                          </w:divBdr>
                          <w:divsChild>
                            <w:div w:id="908807268">
                              <w:marLeft w:val="0"/>
                              <w:marRight w:val="0"/>
                              <w:marTop w:val="0"/>
                              <w:marBottom w:val="0"/>
                              <w:divBdr>
                                <w:top w:val="none" w:sz="0" w:space="0" w:color="auto"/>
                                <w:left w:val="none" w:sz="0" w:space="0" w:color="auto"/>
                                <w:bottom w:val="none" w:sz="0" w:space="0" w:color="auto"/>
                                <w:right w:val="none" w:sz="0" w:space="0" w:color="auto"/>
                              </w:divBdr>
                              <w:divsChild>
                                <w:div w:id="934942596">
                                  <w:marLeft w:val="0"/>
                                  <w:marRight w:val="0"/>
                                  <w:marTop w:val="0"/>
                                  <w:marBottom w:val="0"/>
                                  <w:divBdr>
                                    <w:top w:val="none" w:sz="0" w:space="0" w:color="auto"/>
                                    <w:left w:val="none" w:sz="0" w:space="0" w:color="auto"/>
                                    <w:bottom w:val="none" w:sz="0" w:space="0" w:color="auto"/>
                                    <w:right w:val="none" w:sz="0" w:space="0" w:color="auto"/>
                                  </w:divBdr>
                                  <w:divsChild>
                                    <w:div w:id="1647588624">
                                      <w:marLeft w:val="60"/>
                                      <w:marRight w:val="0"/>
                                      <w:marTop w:val="0"/>
                                      <w:marBottom w:val="0"/>
                                      <w:divBdr>
                                        <w:top w:val="none" w:sz="0" w:space="0" w:color="auto"/>
                                        <w:left w:val="none" w:sz="0" w:space="0" w:color="auto"/>
                                        <w:bottom w:val="none" w:sz="0" w:space="0" w:color="auto"/>
                                        <w:right w:val="none" w:sz="0" w:space="0" w:color="auto"/>
                                      </w:divBdr>
                                      <w:divsChild>
                                        <w:div w:id="331639388">
                                          <w:marLeft w:val="0"/>
                                          <w:marRight w:val="0"/>
                                          <w:marTop w:val="0"/>
                                          <w:marBottom w:val="0"/>
                                          <w:divBdr>
                                            <w:top w:val="none" w:sz="0" w:space="0" w:color="auto"/>
                                            <w:left w:val="none" w:sz="0" w:space="0" w:color="auto"/>
                                            <w:bottom w:val="none" w:sz="0" w:space="0" w:color="auto"/>
                                            <w:right w:val="none" w:sz="0" w:space="0" w:color="auto"/>
                                          </w:divBdr>
                                          <w:divsChild>
                                            <w:div w:id="67777493">
                                              <w:marLeft w:val="0"/>
                                              <w:marRight w:val="0"/>
                                              <w:marTop w:val="0"/>
                                              <w:marBottom w:val="120"/>
                                              <w:divBdr>
                                                <w:top w:val="single" w:sz="6" w:space="0" w:color="F5F5F5"/>
                                                <w:left w:val="single" w:sz="6" w:space="0" w:color="F5F5F5"/>
                                                <w:bottom w:val="single" w:sz="6" w:space="0" w:color="F5F5F5"/>
                                                <w:right w:val="single" w:sz="6" w:space="0" w:color="F5F5F5"/>
                                              </w:divBdr>
                                              <w:divsChild>
                                                <w:div w:id="1382902414">
                                                  <w:marLeft w:val="0"/>
                                                  <w:marRight w:val="0"/>
                                                  <w:marTop w:val="0"/>
                                                  <w:marBottom w:val="0"/>
                                                  <w:divBdr>
                                                    <w:top w:val="none" w:sz="0" w:space="0" w:color="auto"/>
                                                    <w:left w:val="none" w:sz="0" w:space="0" w:color="auto"/>
                                                    <w:bottom w:val="none" w:sz="0" w:space="0" w:color="auto"/>
                                                    <w:right w:val="none" w:sz="0" w:space="0" w:color="auto"/>
                                                  </w:divBdr>
                                                  <w:divsChild>
                                                    <w:div w:id="1914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1785">
      <w:bodyDiv w:val="1"/>
      <w:marLeft w:val="0"/>
      <w:marRight w:val="0"/>
      <w:marTop w:val="0"/>
      <w:marBottom w:val="0"/>
      <w:divBdr>
        <w:top w:val="none" w:sz="0" w:space="0" w:color="auto"/>
        <w:left w:val="none" w:sz="0" w:space="0" w:color="auto"/>
        <w:bottom w:val="none" w:sz="0" w:space="0" w:color="auto"/>
        <w:right w:val="none" w:sz="0" w:space="0" w:color="auto"/>
      </w:divBdr>
      <w:divsChild>
        <w:div w:id="1464689272">
          <w:marLeft w:val="0"/>
          <w:marRight w:val="0"/>
          <w:marTop w:val="0"/>
          <w:marBottom w:val="0"/>
          <w:divBdr>
            <w:top w:val="none" w:sz="0" w:space="0" w:color="auto"/>
            <w:left w:val="none" w:sz="0" w:space="0" w:color="auto"/>
            <w:bottom w:val="none" w:sz="0" w:space="0" w:color="auto"/>
            <w:right w:val="none" w:sz="0" w:space="0" w:color="auto"/>
          </w:divBdr>
          <w:divsChild>
            <w:div w:id="142043452">
              <w:marLeft w:val="0"/>
              <w:marRight w:val="0"/>
              <w:marTop w:val="0"/>
              <w:marBottom w:val="0"/>
              <w:divBdr>
                <w:top w:val="none" w:sz="0" w:space="0" w:color="auto"/>
                <w:left w:val="none" w:sz="0" w:space="0" w:color="auto"/>
                <w:bottom w:val="none" w:sz="0" w:space="0" w:color="auto"/>
                <w:right w:val="none" w:sz="0" w:space="0" w:color="auto"/>
              </w:divBdr>
              <w:divsChild>
                <w:div w:id="1614898587">
                  <w:marLeft w:val="0"/>
                  <w:marRight w:val="0"/>
                  <w:marTop w:val="0"/>
                  <w:marBottom w:val="0"/>
                  <w:divBdr>
                    <w:top w:val="none" w:sz="0" w:space="0" w:color="auto"/>
                    <w:left w:val="none" w:sz="0" w:space="0" w:color="auto"/>
                    <w:bottom w:val="none" w:sz="0" w:space="0" w:color="auto"/>
                    <w:right w:val="none" w:sz="0" w:space="0" w:color="auto"/>
                  </w:divBdr>
                  <w:divsChild>
                    <w:div w:id="1263148490">
                      <w:marLeft w:val="0"/>
                      <w:marRight w:val="0"/>
                      <w:marTop w:val="0"/>
                      <w:marBottom w:val="0"/>
                      <w:divBdr>
                        <w:top w:val="none" w:sz="0" w:space="0" w:color="auto"/>
                        <w:left w:val="none" w:sz="0" w:space="0" w:color="auto"/>
                        <w:bottom w:val="none" w:sz="0" w:space="0" w:color="auto"/>
                        <w:right w:val="none" w:sz="0" w:space="0" w:color="auto"/>
                      </w:divBdr>
                      <w:divsChild>
                        <w:div w:id="163788102">
                          <w:marLeft w:val="0"/>
                          <w:marRight w:val="0"/>
                          <w:marTop w:val="0"/>
                          <w:marBottom w:val="0"/>
                          <w:divBdr>
                            <w:top w:val="none" w:sz="0" w:space="0" w:color="auto"/>
                            <w:left w:val="none" w:sz="0" w:space="0" w:color="auto"/>
                            <w:bottom w:val="none" w:sz="0" w:space="0" w:color="auto"/>
                            <w:right w:val="none" w:sz="0" w:space="0" w:color="auto"/>
                          </w:divBdr>
                          <w:divsChild>
                            <w:div w:id="1271474422">
                              <w:marLeft w:val="0"/>
                              <w:marRight w:val="0"/>
                              <w:marTop w:val="0"/>
                              <w:marBottom w:val="0"/>
                              <w:divBdr>
                                <w:top w:val="none" w:sz="0" w:space="0" w:color="auto"/>
                                <w:left w:val="none" w:sz="0" w:space="0" w:color="auto"/>
                                <w:bottom w:val="none" w:sz="0" w:space="0" w:color="auto"/>
                                <w:right w:val="none" w:sz="0" w:space="0" w:color="auto"/>
                              </w:divBdr>
                              <w:divsChild>
                                <w:div w:id="456221241">
                                  <w:marLeft w:val="0"/>
                                  <w:marRight w:val="0"/>
                                  <w:marTop w:val="0"/>
                                  <w:marBottom w:val="0"/>
                                  <w:divBdr>
                                    <w:top w:val="none" w:sz="0" w:space="0" w:color="auto"/>
                                    <w:left w:val="none" w:sz="0" w:space="0" w:color="auto"/>
                                    <w:bottom w:val="none" w:sz="0" w:space="0" w:color="auto"/>
                                    <w:right w:val="none" w:sz="0" w:space="0" w:color="auto"/>
                                  </w:divBdr>
                                  <w:divsChild>
                                    <w:div w:id="411119893">
                                      <w:marLeft w:val="60"/>
                                      <w:marRight w:val="0"/>
                                      <w:marTop w:val="0"/>
                                      <w:marBottom w:val="0"/>
                                      <w:divBdr>
                                        <w:top w:val="none" w:sz="0" w:space="0" w:color="auto"/>
                                        <w:left w:val="none" w:sz="0" w:space="0" w:color="auto"/>
                                        <w:bottom w:val="none" w:sz="0" w:space="0" w:color="auto"/>
                                        <w:right w:val="none" w:sz="0" w:space="0" w:color="auto"/>
                                      </w:divBdr>
                                      <w:divsChild>
                                        <w:div w:id="1196699682">
                                          <w:marLeft w:val="0"/>
                                          <w:marRight w:val="0"/>
                                          <w:marTop w:val="0"/>
                                          <w:marBottom w:val="0"/>
                                          <w:divBdr>
                                            <w:top w:val="none" w:sz="0" w:space="0" w:color="auto"/>
                                            <w:left w:val="none" w:sz="0" w:space="0" w:color="auto"/>
                                            <w:bottom w:val="none" w:sz="0" w:space="0" w:color="auto"/>
                                            <w:right w:val="none" w:sz="0" w:space="0" w:color="auto"/>
                                          </w:divBdr>
                                          <w:divsChild>
                                            <w:div w:id="1191214581">
                                              <w:marLeft w:val="0"/>
                                              <w:marRight w:val="0"/>
                                              <w:marTop w:val="0"/>
                                              <w:marBottom w:val="120"/>
                                              <w:divBdr>
                                                <w:top w:val="single" w:sz="6" w:space="0" w:color="F5F5F5"/>
                                                <w:left w:val="single" w:sz="6" w:space="0" w:color="F5F5F5"/>
                                                <w:bottom w:val="single" w:sz="6" w:space="0" w:color="F5F5F5"/>
                                                <w:right w:val="single" w:sz="6" w:space="0" w:color="F5F5F5"/>
                                              </w:divBdr>
                                              <w:divsChild>
                                                <w:div w:id="1253903459">
                                                  <w:marLeft w:val="0"/>
                                                  <w:marRight w:val="0"/>
                                                  <w:marTop w:val="0"/>
                                                  <w:marBottom w:val="0"/>
                                                  <w:divBdr>
                                                    <w:top w:val="none" w:sz="0" w:space="0" w:color="auto"/>
                                                    <w:left w:val="none" w:sz="0" w:space="0" w:color="auto"/>
                                                    <w:bottom w:val="none" w:sz="0" w:space="0" w:color="auto"/>
                                                    <w:right w:val="none" w:sz="0" w:space="0" w:color="auto"/>
                                                  </w:divBdr>
                                                  <w:divsChild>
                                                    <w:div w:id="1615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25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92994">
          <w:marLeft w:val="0"/>
          <w:marRight w:val="0"/>
          <w:marTop w:val="0"/>
          <w:marBottom w:val="0"/>
          <w:divBdr>
            <w:top w:val="none" w:sz="0" w:space="0" w:color="auto"/>
            <w:left w:val="none" w:sz="0" w:space="0" w:color="auto"/>
            <w:bottom w:val="none" w:sz="0" w:space="0" w:color="auto"/>
            <w:right w:val="none" w:sz="0" w:space="0" w:color="auto"/>
          </w:divBdr>
          <w:divsChild>
            <w:div w:id="1591624141">
              <w:marLeft w:val="0"/>
              <w:marRight w:val="0"/>
              <w:marTop w:val="0"/>
              <w:marBottom w:val="0"/>
              <w:divBdr>
                <w:top w:val="none" w:sz="0" w:space="0" w:color="auto"/>
                <w:left w:val="none" w:sz="0" w:space="0" w:color="auto"/>
                <w:bottom w:val="none" w:sz="0" w:space="0" w:color="auto"/>
                <w:right w:val="none" w:sz="0" w:space="0" w:color="auto"/>
              </w:divBdr>
              <w:divsChild>
                <w:div w:id="495994837">
                  <w:marLeft w:val="0"/>
                  <w:marRight w:val="0"/>
                  <w:marTop w:val="0"/>
                  <w:marBottom w:val="0"/>
                  <w:divBdr>
                    <w:top w:val="none" w:sz="0" w:space="0" w:color="auto"/>
                    <w:left w:val="none" w:sz="0" w:space="0" w:color="auto"/>
                    <w:bottom w:val="none" w:sz="0" w:space="0" w:color="auto"/>
                    <w:right w:val="none" w:sz="0" w:space="0" w:color="auto"/>
                  </w:divBdr>
                  <w:divsChild>
                    <w:div w:id="165224577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hcuser</cp:lastModifiedBy>
  <cp:revision>17</cp:revision>
  <cp:lastPrinted>2014-02-17T17:21:00Z</cp:lastPrinted>
  <dcterms:created xsi:type="dcterms:W3CDTF">2014-02-18T20:19:00Z</dcterms:created>
  <dcterms:modified xsi:type="dcterms:W3CDTF">2014-02-18T21:16:00Z</dcterms:modified>
</cp:coreProperties>
</file>